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W w:type="auto" w:w="0"/>
        <w:jc w:val="left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37"/>
        <w:gridCol w:w="454"/>
        <w:gridCol w:w="369"/>
        <w:gridCol w:w="2239"/>
        <w:gridCol w:w="794"/>
        <w:gridCol w:w="764"/>
        <w:gridCol w:w="4252"/>
      </w:tblGrid>
      <w:tr>
        <w:trPr>
          <w:trHeight w:hRule="exact" w:val="850"/>
        </w:trPr>
        <w:tc>
          <w:tcPr>
            <w:tcW w:type="dxa" w:w="3799"/>
            <w:gridSpan w:val="4"/>
            <w:vMerge w:val="restart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 w14:paraId="06000000">
            <w:pPr>
              <w:widowControl w:val="0"/>
              <w:spacing w:after="0" w:line="240" w:lineRule="auto"/>
              <w:ind w:firstLine="0" w:left="0"/>
              <w:jc w:val="left"/>
              <w:rPr>
                <w:color w:val="A5A5A5"/>
                <w:sz w:val="24"/>
              </w:rPr>
            </w:pPr>
            <w:bookmarkStart w:id="3" w:name="STAMPCORNER"/>
            <w:r>
              <w:rPr>
                <w:color w:val="A5A5A5"/>
                <w:sz w:val="24"/>
              </w:rPr>
              <w:t>угловой штамп (авто)</w:t>
            </w:r>
          </w:p>
          <w:sdt>
            <w:sdtPr>
              <w:lock w:val="sdtContentLocked"/>
            </w:sdtPr>
            <w:sdtContent>
              <w:p w14:paraId="07000000">
                <w:pPr>
                  <w:widowControl w:val="0"/>
                  <w:spacing w:after="0" w:line="240" w:lineRule="auto"/>
                  <w:ind w:firstLine="0" w:left="0"/>
                  <w:jc w:val="left"/>
                  <w:rPr>
                    <w:color w:val="A5A5A5"/>
                    <w:sz w:val="24"/>
                  </w:rPr>
                </w:pPr>
                <w:r>
                  <w:rPr>
                    <w:color w:val="A5A5A5"/>
                    <w:sz w:val="24"/>
                  </w:rPr>
                  <w:t>(верси</w:t>
                </w:r>
                <w:r>
                  <w:rPr>
                    <w:rFonts w:ascii="Times New Roman" w:hAnsi="Times New Roman"/>
                    <w:color w:val="A5A5A5"/>
                    <w:spacing w:val="0"/>
                    <w:sz w:val="24"/>
                  </w:rPr>
                  <w:t>я </w:t>
                </w:r>
                <w:r>
                  <w:rPr>
                    <w:color w:val="A5A5A5"/>
                    <w:sz w:val="24"/>
                  </w:rPr>
                  <w:t>1.4 от 07.07.2025)</w:t>
                </w:r>
                <w:bookmarkEnd w:id="3"/>
              </w:p>
            </w:sdtContent>
          </w:sdt>
        </w:tc>
        <w:tc>
          <w:tcPr>
            <w:tcW w:type="dxa" w:w="79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sdt>
            <w:sdtPr>
              <w:lock w:val="sdtContentLocked"/>
            </w:sdtPr>
            <w:sdtContent>
              <w:p w14:paraId="08000000">
                <w:pPr>
                  <w:widowControl w:val="0"/>
                  <w:ind w:firstLine="0" w:left="-57"/>
                  <w:rPr>
                    <w:sz w:val="24"/>
                  </w:rPr>
                </w:pPr>
              </w:p>
            </w:sdtContent>
          </w:sdt>
        </w:tc>
        <w:tc>
          <w:tcPr>
            <w:tcW w:type="dxa" w:w="76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sdt>
            <w:sdtPr>
              <w:lock w:val="sdtContentLocked"/>
            </w:sdtPr>
            <w:sdtContent>
              <w:p w14:paraId="09000000">
                <w:pPr>
                  <w:widowControl w:val="0"/>
                  <w:ind w:firstLine="0" w:left="-57"/>
                  <w:rPr>
                    <w:sz w:val="24"/>
                  </w:rPr>
                </w:pPr>
              </w:p>
            </w:sdtContent>
          </w:sdt>
        </w:tc>
        <w:tc>
          <w:tcPr>
            <w:tcW w:type="dxa" w:w="425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sdt>
            <w:sdtPr>
              <w:lock w:val="sdtContentLocked"/>
            </w:sdtPr>
            <w:sdtContent>
              <w:p w14:paraId="0A000000">
                <w:pPr>
                  <w:widowControl w:val="0"/>
                  <w:ind w:firstLine="0" w:left="-57"/>
                  <w:rPr>
                    <w:sz w:val="28"/>
                  </w:rPr>
                </w:pPr>
              </w:p>
            </w:sdtContent>
          </w:sdt>
        </w:tc>
      </w:tr>
      <w:tr>
        <w:trPr>
          <w:trHeight w:hRule="exact" w:val="1587"/>
        </w:trPr>
        <w:tc>
          <w:tcPr>
            <w:tcW w:type="dxa" w:w="3799"/>
            <w:gridSpan w:val="4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  <w:tc>
          <w:tcPr>
            <w:tcW w:type="dxa" w:w="79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sdt>
            <w:sdtPr>
              <w:lock w:val="sdtContentLocked"/>
            </w:sdtPr>
            <w:sdtContent>
              <w:p w14:paraId="0B000000">
                <w:pPr>
                  <w:widowControl w:val="0"/>
                  <w:ind w:firstLine="0" w:left="-57"/>
                  <w:rPr>
                    <w:sz w:val="24"/>
                  </w:rPr>
                </w:pPr>
              </w:p>
            </w:sdtContent>
          </w:sdt>
        </w:tc>
        <w:tc>
          <w:tcPr>
            <w:tcW w:type="dxa" w:w="76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sdt>
            <w:sdtPr>
              <w:lock w:val="sdtContentLocked"/>
            </w:sdtPr>
            <w:sdtContent>
              <w:p w14:paraId="0C000000">
                <w:pPr>
                  <w:widowControl w:val="0"/>
                  <w:ind w:firstLine="0" w:left="-57"/>
                  <w:rPr>
                    <w:sz w:val="24"/>
                  </w:rPr>
                </w:pPr>
              </w:p>
            </w:sdtContent>
          </w:sdt>
        </w:tc>
        <w:tc>
          <w:tcPr>
            <w:tcW w:type="dxa" w:w="4252"/>
            <w:vMerge w:val="restart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 w14:paraId="0D000000">
            <w:r>
              <w:t>Главе Ребрихинского района</w:t>
            </w:r>
          </w:p>
          <w:p w14:paraId="0E000000"/>
          <w:p w14:paraId="0F000000">
            <w:r>
              <w:t>Бегаевой Е.А.</w:t>
            </w:r>
          </w:p>
        </w:tc>
      </w:tr>
      <w:tr>
        <w:trPr>
          <w:trHeight w:hRule="exact" w:val="227"/>
        </w:trPr>
        <w:tc>
          <w:tcPr>
            <w:tcW w:type="dxa" w:w="73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sdt>
            <w:sdtPr>
              <w:lock w:val="sdtContentLocked"/>
            </w:sdtPr>
            <w:sdtContent>
              <w:p w14:paraId="10000000">
                <w:pPr>
                  <w:widowControl w:val="0"/>
                  <w:ind w:firstLine="0" w:left="-57"/>
                  <w:rPr>
                    <w:color w:val="A5A5A5"/>
                    <w:sz w:val="16"/>
                  </w:rPr>
                </w:pPr>
              </w:p>
            </w:sdtContent>
          </w:sdt>
        </w:tc>
        <w:tc>
          <w:tcPr>
            <w:tcW w:type="dxa" w:w="45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sdt>
            <w:sdtPr>
              <w:lock w:val="sdtContentLocked"/>
            </w:sdtPr>
            <w:sdtContent>
              <w:p w14:paraId="11000000">
                <w:pPr>
                  <w:widowControl w:val="0"/>
                  <w:ind w:firstLine="0" w:left="-57"/>
                  <w:rPr>
                    <w:color w:val="A5A5A5"/>
                    <w:sz w:val="16"/>
                  </w:rPr>
                </w:pPr>
              </w:p>
            </w:sdtContent>
          </w:sdt>
        </w:tc>
        <w:tc>
          <w:tcPr>
            <w:tcW w:type="dxa" w:w="36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sdt>
            <w:sdtPr>
              <w:lock w:val="sdtContentLocked"/>
            </w:sdtPr>
            <w:sdtContent>
              <w:p w14:paraId="12000000">
                <w:pPr>
                  <w:widowControl w:val="0"/>
                  <w:ind w:firstLine="0" w:left="-57"/>
                  <w:rPr>
                    <w:sz w:val="16"/>
                  </w:rPr>
                </w:pPr>
              </w:p>
            </w:sdtContent>
          </w:sdt>
        </w:tc>
        <w:tc>
          <w:tcPr>
            <w:tcW w:type="dxa" w:w="223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sdt>
            <w:sdtPr>
              <w:lock w:val="sdtContentLocked"/>
            </w:sdtPr>
            <w:sdtContent>
              <w:p w14:paraId="13000000">
                <w:pPr>
                  <w:widowControl w:val="0"/>
                  <w:ind w:firstLine="0" w:left="-57"/>
                  <w:rPr>
                    <w:color w:val="A5A5A5"/>
                    <w:sz w:val="16"/>
                  </w:rPr>
                </w:pPr>
              </w:p>
            </w:sdtContent>
          </w:sdt>
        </w:tc>
        <w:tc>
          <w:tcPr>
            <w:tcW w:type="dxa" w:w="79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sdt>
            <w:sdtPr>
              <w:lock w:val="sdtContentLocked"/>
            </w:sdtPr>
            <w:sdtContent>
              <w:p w14:paraId="14000000">
                <w:pPr>
                  <w:widowControl w:val="0"/>
                  <w:ind w:firstLine="0" w:left="-57"/>
                  <w:rPr>
                    <w:sz w:val="16"/>
                  </w:rPr>
                </w:pPr>
              </w:p>
            </w:sdtContent>
          </w:sdt>
        </w:tc>
        <w:tc>
          <w:tcPr>
            <w:tcW w:type="dxa" w:w="76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sdt>
            <w:sdtPr>
              <w:lock w:val="sdtContentLocked"/>
            </w:sdtPr>
            <w:sdtContent>
              <w:p w14:paraId="15000000">
                <w:pPr>
                  <w:widowControl w:val="0"/>
                  <w:ind w:firstLine="0" w:left="-57"/>
                  <w:rPr>
                    <w:sz w:val="16"/>
                  </w:rPr>
                </w:pPr>
              </w:p>
            </w:sdtContent>
          </w:sdt>
        </w:tc>
        <w:tc>
          <w:tcPr>
            <w:tcW w:type="dxa" w:w="4252"/>
            <w:gridSpan w:val="1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rPr>
          <w:trHeight w:hRule="exact" w:val="397"/>
        </w:trPr>
        <w:tc>
          <w:tcPr>
            <w:tcW w:type="dxa" w:w="1191"/>
            <w:gridSpan w:val="2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</w:tcPr>
          <w:p w14:paraId="16000000">
            <w:pPr>
              <w:widowControl w:val="0"/>
              <w:ind w:firstLine="0" w:left="-85"/>
              <w:rPr>
                <w:color w:val="A5A5A5"/>
                <w:sz w:val="24"/>
              </w:rPr>
            </w:pPr>
            <w:bookmarkStart w:id="4" w:name="SIGDT1"/>
            <w:r>
              <w:rPr>
                <w:color w:val="A5A5A5"/>
                <w:sz w:val="24"/>
              </w:rPr>
              <w:t>подписан</w:t>
            </w:r>
            <w:bookmarkEnd w:id="4"/>
          </w:p>
        </w:tc>
        <w:tc>
          <w:tcPr>
            <w:tcW w:type="dxa" w:w="36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sdt>
            <w:sdtPr>
              <w:lock w:val="sdtContentLocked"/>
            </w:sdtPr>
            <w:sdtContent>
              <w:p w14:paraId="17000000">
                <w:pPr>
                  <w:widowControl w:val="0"/>
                  <w:ind w:firstLine="0" w:left="-85"/>
                  <w:rPr>
                    <w:sz w:val="24"/>
                  </w:rPr>
                </w:pPr>
                <w:r>
                  <w:rPr>
                    <w:sz w:val="24"/>
                  </w:rPr>
                  <w:t>№</w:t>
                </w:r>
              </w:p>
            </w:sdtContent>
          </w:sdt>
        </w:tc>
        <w:tc>
          <w:tcPr>
            <w:tcW w:type="dxa" w:w="2239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</w:tcPr>
          <w:sdt>
            <w:sdtPr>
              <w:lock w:val="sdtContentLocked"/>
            </w:sdtPr>
            <w:sdtContent>
              <w:p w14:paraId="18000000">
                <w:pPr>
                  <w:widowControl w:val="0"/>
                  <w:ind w:firstLine="0" w:left="-57"/>
                  <w:rPr>
                    <w:color w:val="A5A5A5"/>
                    <w:sz w:val="24"/>
                  </w:rPr>
                </w:pPr>
                <w:bookmarkStart w:id="5" w:name="REGNUMSTAMP"/>
                <w:r>
                  <w:rPr>
                    <w:color w:val="A5A5A5"/>
                    <w:sz w:val="24"/>
                  </w:rPr>
                  <w:t>рег. номер</w:t>
                </w:r>
                <w:bookmarkEnd w:id="5"/>
              </w:p>
            </w:sdtContent>
          </w:sdt>
        </w:tc>
        <w:tc>
          <w:tcPr>
            <w:tcW w:type="dxa" w:w="79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sdt>
            <w:sdtPr>
              <w:lock w:val="sdtContentLocked"/>
            </w:sdtPr>
            <w:sdtContent>
              <w:p w14:paraId="19000000">
                <w:pPr>
                  <w:rPr>
                    <w:sz w:val="24"/>
                  </w:rPr>
                </w:pPr>
              </w:p>
            </w:sdtContent>
          </w:sdt>
        </w:tc>
        <w:tc>
          <w:tcPr>
            <w:tcW w:type="dxa" w:w="76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sdt>
            <w:sdtPr>
              <w:lock w:val="sdtContentLocked"/>
            </w:sdtPr>
            <w:sdtContent>
              <w:p w14:paraId="1A000000">
                <w:pPr>
                  <w:rPr>
                    <w:sz w:val="24"/>
                  </w:rPr>
                </w:pPr>
              </w:p>
            </w:sdtContent>
          </w:sdt>
        </w:tc>
        <w:tc>
          <w:tcPr>
            <w:tcW w:type="dxa" w:w="4252"/>
            <w:gridSpan w:val="1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rPr>
          <w:trHeight w:hRule="atLeast" w:val="200"/>
        </w:trPr>
        <w:tc>
          <w:tcPr>
            <w:tcW w:type="dxa" w:w="737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sdt>
            <w:sdtPr>
              <w:lock w:val="sdtContentLocked"/>
            </w:sdtPr>
            <w:sdtContent>
              <w:p w14:paraId="1B000000">
                <w:pPr>
                  <w:rPr>
                    <w:sz w:val="16"/>
                  </w:rPr>
                </w:pPr>
              </w:p>
            </w:sdtContent>
          </w:sdt>
        </w:tc>
        <w:tc>
          <w:tcPr>
            <w:tcW w:type="dxa" w:w="454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sdt>
            <w:sdtPr>
              <w:lock w:val="sdtContentLocked"/>
            </w:sdtPr>
            <w:sdtContent>
              <w:p w14:paraId="1C000000">
                <w:pPr>
                  <w:widowControl w:val="0"/>
                  <w:ind w:firstLine="142" w:left="-142"/>
                  <w:jc w:val="left"/>
                  <w:rPr>
                    <w:sz w:val="16"/>
                  </w:rPr>
                </w:pPr>
              </w:p>
            </w:sdtContent>
          </w:sdt>
        </w:tc>
        <w:tc>
          <w:tcPr>
            <w:tcW w:type="dxa" w:w="36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sdt>
            <w:sdtPr>
              <w:lock w:val="sdtContentLocked"/>
            </w:sdtPr>
            <w:sdtContent>
              <w:p w14:paraId="1D000000">
                <w:pPr>
                  <w:rPr>
                    <w:sz w:val="16"/>
                  </w:rPr>
                </w:pPr>
              </w:p>
            </w:sdtContent>
          </w:sdt>
        </w:tc>
        <w:tc>
          <w:tcPr>
            <w:tcW w:type="dxa" w:w="2239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sdt>
            <w:sdtPr>
              <w:lock w:val="sdtContentLocked"/>
            </w:sdtPr>
            <w:sdtContent>
              <w:p w14:paraId="1E000000">
                <w:pPr>
                  <w:rPr>
                    <w:sz w:val="16"/>
                  </w:rPr>
                </w:pPr>
              </w:p>
            </w:sdtContent>
          </w:sdt>
        </w:tc>
        <w:tc>
          <w:tcPr>
            <w:tcW w:type="dxa" w:w="79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sdt>
            <w:sdtPr>
              <w:lock w:val="sdtContentLocked"/>
            </w:sdtPr>
            <w:sdtContent>
              <w:p w14:paraId="1F000000">
                <w:pPr>
                  <w:rPr>
                    <w:sz w:val="16"/>
                  </w:rPr>
                </w:pPr>
              </w:p>
            </w:sdtContent>
          </w:sdt>
        </w:tc>
        <w:tc>
          <w:tcPr>
            <w:tcW w:type="dxa" w:w="76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sdt>
            <w:sdtPr>
              <w:lock w:val="sdtContentLocked"/>
            </w:sdtPr>
            <w:sdtContent>
              <w:p w14:paraId="20000000">
                <w:pPr>
                  <w:rPr>
                    <w:sz w:val="16"/>
                  </w:rPr>
                </w:pPr>
              </w:p>
            </w:sdtContent>
          </w:sdt>
        </w:tc>
        <w:tc>
          <w:tcPr>
            <w:tcW w:type="dxa" w:w="4252"/>
            <w:gridSpan w:val="1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  <w:tr>
        <w:trPr>
          <w:trHeight w:hRule="atLeast" w:val="200"/>
        </w:trPr>
        <w:tc>
          <w:tcPr>
            <w:tcW w:type="dxa" w:w="73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sdt>
            <w:sdtPr>
              <w:lock w:val="sdtContentLocked"/>
            </w:sdtPr>
            <w:sdtContent>
              <w:p w14:paraId="21000000">
                <w:pPr>
                  <w:widowControl w:val="0"/>
                  <w:ind w:firstLine="0" w:left="-85"/>
                  <w:rPr>
                    <w:sz w:val="16"/>
                  </w:rPr>
                </w:pPr>
              </w:p>
            </w:sdtContent>
          </w:sdt>
        </w:tc>
        <w:tc>
          <w:tcPr>
            <w:tcW w:type="dxa" w:w="45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sdt>
            <w:sdtPr>
              <w:lock w:val="sdtContentLocked"/>
            </w:sdtPr>
            <w:sdtContent>
              <w:p w14:paraId="22000000">
                <w:pPr>
                  <w:widowControl w:val="0"/>
                  <w:ind w:firstLine="142" w:left="-142"/>
                  <w:jc w:val="left"/>
                  <w:rPr>
                    <w:sz w:val="16"/>
                  </w:rPr>
                </w:pPr>
              </w:p>
            </w:sdtContent>
          </w:sdt>
        </w:tc>
        <w:tc>
          <w:tcPr>
            <w:tcW w:type="dxa" w:w="36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sdt>
            <w:sdtPr>
              <w:lock w:val="sdtContentLocked"/>
            </w:sdtPr>
            <w:sdtContent>
              <w:p w14:paraId="23000000">
                <w:pPr>
                  <w:widowControl w:val="0"/>
                  <w:ind w:firstLine="142" w:left="-142"/>
                  <w:jc w:val="left"/>
                  <w:rPr>
                    <w:sz w:val="16"/>
                  </w:rPr>
                </w:pPr>
              </w:p>
            </w:sdtContent>
          </w:sdt>
        </w:tc>
        <w:tc>
          <w:tcPr>
            <w:tcW w:type="dxa" w:w="223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sdt>
            <w:sdtPr>
              <w:lock w:val="sdtContentLocked"/>
            </w:sdtPr>
            <w:sdtContent>
              <w:p w14:paraId="24000000">
                <w:pPr>
                  <w:widowControl w:val="0"/>
                  <w:ind w:firstLine="142" w:left="-142"/>
                  <w:jc w:val="left"/>
                  <w:rPr>
                    <w:sz w:val="16"/>
                  </w:rPr>
                </w:pPr>
              </w:p>
            </w:sdtContent>
          </w:sdt>
        </w:tc>
        <w:tc>
          <w:tcPr>
            <w:tcW w:type="dxa" w:w="79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sdt>
            <w:sdtPr>
              <w:lock w:val="sdtContentLocked"/>
            </w:sdtPr>
            <w:sdtContent>
              <w:p w14:paraId="25000000">
                <w:pPr>
                  <w:rPr>
                    <w:sz w:val="16"/>
                  </w:rPr>
                </w:pPr>
              </w:p>
            </w:sdtContent>
          </w:sdt>
        </w:tc>
        <w:tc>
          <w:tcPr>
            <w:tcW w:type="dxa" w:w="76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sdt>
            <w:sdtPr>
              <w:lock w:val="sdtContentLocked"/>
            </w:sdtPr>
            <w:sdtContent>
              <w:p w14:paraId="26000000">
                <w:pPr>
                  <w:rPr>
                    <w:sz w:val="16"/>
                  </w:rPr>
                </w:pPr>
              </w:p>
            </w:sdtContent>
          </w:sdt>
        </w:tc>
        <w:tc>
          <w:tcPr>
            <w:tcW w:type="dxa" w:w="4252"/>
            <w:gridSpan w:val="1"/>
            <w:vMerge w:val="continue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/>
        </w:tc>
      </w:tr>
    </w:tbl>
    <w:p w14:paraId="27000000">
      <w:pPr>
        <w:widowControl w:val="0"/>
        <w:ind w:firstLine="0" w:left="0"/>
      </w:pPr>
    </w:p>
    <w:p w14:paraId="28000000">
      <w:pPr>
        <w:widowControl w:val="0"/>
        <w:ind w:firstLine="709" w:left="0"/>
        <w:jc w:val="both"/>
      </w:pPr>
      <w:r>
        <w:t xml:space="preserve">В соответствии с поручением заместителя Генерального прокурора Российской Федерации, в целях защиты прав граждан и повышения эффективности прокурорского надзора за соблюдением законодательства в жилищно-коммунальной сфере, организована горячая линия для жителей региона. </w:t>
      </w:r>
    </w:p>
    <w:p w14:paraId="29000000">
      <w:pPr>
        <w:widowControl w:val="0"/>
        <w:ind w:firstLine="709" w:left="0"/>
        <w:jc w:val="both"/>
      </w:pPr>
      <w:r>
        <w:t xml:space="preserve">В этой связи необходимо </w:t>
      </w:r>
      <w:r>
        <w:rPr>
          <w:b w:val="1"/>
        </w:rPr>
        <w:t>до 16 час. 45 мин. 05.06.2026</w:t>
      </w:r>
      <w:r>
        <w:t xml:space="preserve"> разместить в средствах массовой информации (в том числе в телевизионных эфирах, в ключевых печатных и интернет-изданиях) пресс-релиз следующего содержания: </w:t>
      </w:r>
    </w:p>
    <w:p w14:paraId="2A000000">
      <w:pPr>
        <w:widowControl w:val="0"/>
        <w:ind w:firstLine="709" w:left="0"/>
        <w:jc w:val="both"/>
        <w:rPr>
          <w:b w:val="1"/>
        </w:rPr>
      </w:pPr>
      <w:r>
        <w:rPr>
          <w:b w:val="1"/>
        </w:rPr>
        <w:t xml:space="preserve">«По поручению заместителя Генпрокурора России организована работа «горячей линии» для жителей Алтайского края». </w:t>
      </w:r>
    </w:p>
    <w:p w14:paraId="2B000000">
      <w:pPr>
        <w:widowControl w:val="0"/>
        <w:ind w:firstLine="709" w:left="0"/>
        <w:jc w:val="both"/>
      </w:pPr>
      <w:r>
        <w:t>По поручению заместителя Генерального прокурора Российской Федерации Сергея Зайцева в прокуратуре Алтайского края организована работа «горячей линии» для жителей региона по вопросам соблюдения законов в жилищно-коммунальной сфере. В числе прочего принимаются обращения по качеству предоставляемых коммунальных услуг, сфере обращения с отходами производства и потребления, состоянию инженерных систем и инфраструктуры, содержанию жилого фонда, благоустройству, тарифному регулированию, капитальному ремонту МКД и другим актуальным проблемам.</w:t>
      </w:r>
    </w:p>
    <w:p w14:paraId="2C000000">
      <w:pPr>
        <w:widowControl w:val="0"/>
        <w:ind w:firstLine="709" w:left="0"/>
        <w:jc w:val="both"/>
      </w:pPr>
      <w:r>
        <w:t xml:space="preserve"> Прием сообщений по обозначенным вопросам будет проводиться с 8 по 11 июня 2026 года в прокуратуре Алтайского края по телефону 8-983-350-04-07».</w:t>
      </w:r>
    </w:p>
    <w:p w14:paraId="2D000000">
      <w:pPr>
        <w:widowControl w:val="0"/>
        <w:ind w:firstLine="709" w:left="0"/>
        <w:jc w:val="both"/>
      </w:pPr>
      <w:r>
        <w:t>Информацию о результатах размещения прошу направить в прокуратуру района на адрес электронной почты: rebriha@22.mailop.ru.</w:t>
      </w:r>
    </w:p>
    <w:p w14:paraId="2E000000">
      <w:pPr>
        <w:widowControl w:val="0"/>
        <w:ind w:firstLine="709" w:left="0"/>
      </w:pPr>
    </w:p>
    <w:p w14:paraId="2F000000">
      <w:pPr>
        <w:widowControl w:val="0"/>
        <w:ind w:firstLine="709" w:left="0"/>
      </w:pPr>
    </w:p>
    <w:tbl>
      <w:tblPr>
        <w:tblStyle w:val="Style_4"/>
        <w:tblW w:type="auto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5102"/>
        <w:gridCol w:w="4535"/>
      </w:tblGrid>
      <w:tr>
        <w:trPr>
          <w:trHeight w:hRule="atLeast" w:val="200"/>
        </w:trPr>
        <w:tc>
          <w:tcPr>
            <w:tcW w:type="dxa" w:w="510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bottom"/>
          </w:tcPr>
          <w:p w14:paraId="30000000">
            <w:pPr>
              <w:widowControl w:val="0"/>
              <w:spacing w:line="240" w:lineRule="exact"/>
              <w:ind/>
            </w:pPr>
            <w:r>
              <w:t>И. о. прокурора района</w:t>
            </w:r>
          </w:p>
        </w:tc>
        <w:tc>
          <w:tcPr>
            <w:tcW w:type="dxa" w:w="4535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31000000">
            <w:pPr>
              <w:widowControl w:val="0"/>
              <w:spacing w:line="240" w:lineRule="exact"/>
              <w:ind/>
              <w:jc w:val="right"/>
            </w:pPr>
          </w:p>
        </w:tc>
      </w:tr>
      <w:tr>
        <w:trPr>
          <w:trHeight w:hRule="exact" w:val="227"/>
        </w:trPr>
        <w:tc>
          <w:tcPr>
            <w:tcW w:type="dxa" w:w="510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bottom"/>
          </w:tcPr>
          <w:sdt>
            <w:sdtPr>
              <w:lock w:val="sdtContentLocked"/>
            </w:sdtPr>
            <w:sdtContent>
              <w:p w14:paraId="32000000"/>
            </w:sdtContent>
          </w:sdt>
        </w:tc>
        <w:tc>
          <w:tcPr>
            <w:tcW w:type="dxa" w:w="4535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sdt>
            <w:sdtPr>
              <w:lock w:val="sdtContentLocked"/>
            </w:sdtPr>
            <w:sdtContent>
              <w:p w14:paraId="33000000">
                <w:pPr>
                  <w:widowControl w:val="0"/>
                  <w:ind/>
                  <w:jc w:val="right"/>
                  <w:rPr>
                    <w:sz w:val="16"/>
                  </w:rPr>
                </w:pPr>
              </w:p>
            </w:sdtContent>
          </w:sdt>
        </w:tc>
      </w:tr>
      <w:tr>
        <w:tc>
          <w:tcPr>
            <w:tcW w:type="dxa" w:w="510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bottom"/>
          </w:tcPr>
          <w:p w14:paraId="34000000">
            <w:pPr>
              <w:widowControl w:val="0"/>
              <w:spacing w:line="240" w:lineRule="exact"/>
              <w:ind/>
            </w:pPr>
            <w:r>
              <w:t>младший советник юстиции</w:t>
            </w:r>
          </w:p>
        </w:tc>
        <w:tc>
          <w:tcPr>
            <w:tcW w:type="dxa" w:w="4535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35000000">
            <w:pPr>
              <w:widowControl w:val="0"/>
              <w:spacing w:line="240" w:lineRule="exact"/>
              <w:ind/>
              <w:jc w:val="right"/>
              <w:rPr>
                <w:color w:val="000000"/>
              </w:rPr>
            </w:pPr>
            <w:r>
              <w:rPr>
                <w:color w:val="000000"/>
              </w:rPr>
              <w:t>И.С. Цырульникова</w:t>
            </w:r>
          </w:p>
        </w:tc>
      </w:tr>
      <w:tr>
        <w:trPr>
          <w:trHeight w:hRule="exact" w:val="1684"/>
        </w:trPr>
        <w:tc>
          <w:tcPr>
            <w:tcW w:type="dxa" w:w="9637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0"/>
              <w:right w:type="dxa" w:w="0"/>
            </w:tcMar>
          </w:tcPr>
          <w:sdt>
            <w:sdtPr>
              <w:lock w:val="sdtContentLocked"/>
            </w:sdtPr>
            <w:sdtContent>
              <w:p w14:paraId="36000000">
                <w:pPr>
                  <w:widowControl w:val="0"/>
                  <w:spacing w:before="227" w:line="240" w:lineRule="exact"/>
                  <w:ind w:firstLine="0" w:left="2835"/>
                  <w:jc w:val="left"/>
                </w:pPr>
                <w:bookmarkStart w:id="6" w:name="SIGNERSTAMP1"/>
                <w:r>
                  <w:rPr>
                    <w:color w:val="953735"/>
                  </w:rPr>
                  <w:t>штамп подписи</w:t>
                </w:r>
              </w:p>
              <w:p w14:paraId="37000000">
                <w:pPr>
                  <w:widowControl w:val="0"/>
                  <w:spacing w:before="227" w:line="240" w:lineRule="exact"/>
                  <w:ind w:firstLine="0" w:left="2835"/>
                  <w:jc w:val="left"/>
                </w:pPr>
                <w:r>
                  <w:rPr>
                    <w:color w:val="953735"/>
                  </w:rPr>
                  <w:t>в соответствии с требованиями ГП РФ штамп подписи не должен отрываться от информации о подписывающем и переноситься на отдельный лист</w:t>
                </w:r>
                <w:bookmarkEnd w:id="6"/>
              </w:p>
            </w:sdtContent>
          </w:sdt>
        </w:tc>
      </w:tr>
    </w:tbl>
    <w:sdt>
      <w:sdtPr>
        <w:lock w:val="sdtContentLocked"/>
      </w:sdtPr>
      <w:sdtContent>
        <w:p w14:paraId="38000000">
          <w:pPr>
            <w:widowControl w:val="0"/>
            <w:tabs>
              <w:tab w:leader="none" w:pos="2595" w:val="left"/>
            </w:tabs>
            <w:ind/>
          </w:pPr>
        </w:p>
      </w:sdtContent>
    </w:sdt>
    <w:sectPr>
      <w:headerReference r:id="rId1" w:type="default"/>
      <w:footerReference r:id="rId2" w:type="first"/>
      <w:pgSz w:h="16838" w:orient="portrait" w:w="11906"/>
      <w:pgMar w:bottom="1134" w:footer="680" w:gutter="0" w:header="680" w:left="1701" w:right="680" w:top="426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2"/>
      <w:tblpPr w:horzAnchor="text" w:tblpXSpec="right" w:tblpY="9" w:vertAnchor="text"/>
      <w:tblW w:type="auto" w:w="0"/>
      <w:jc w:val="right"/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633"/>
      </w:trPr>
      <w:tc>
        <w:tcPr>
          <w:tcW w:type="dxa" w:w="3643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sdt>
          <w:sdtPr>
            <w:lock w:val="sdtContentLocked"/>
          </w:sdtPr>
          <w:sdtContent>
            <w:p w14:paraId="03000000">
              <w:pPr>
                <w:widowControl w:val="0"/>
                <w:spacing w:after="60"/>
                <w:ind/>
                <w:jc w:val="center"/>
                <w:rPr>
                  <w:sz w:val="16"/>
                </w:rPr>
              </w:pPr>
              <w:bookmarkStart w:id="1" w:name="SIGNERORG1"/>
              <w:r>
                <w:rPr>
                  <w:sz w:val="16"/>
                </w:rPr>
                <w:t>организация</w:t>
              </w:r>
              <w:bookmarkEnd w:id="1"/>
            </w:p>
            <w:p w14:paraId="04000000">
              <w:pPr>
                <w:widowControl w:val="0"/>
                <w:spacing w:after="60"/>
                <w:ind/>
                <w:jc w:val="left"/>
                <w:rPr>
                  <w:sz w:val="16"/>
                </w:rPr>
              </w:pPr>
              <w:r>
                <w:rPr>
                  <w:sz w:val="16"/>
                </w:rPr>
                <w:t xml:space="preserve"> </w:t>
              </w:r>
              <w:bookmarkStart w:id="2" w:name="REGNUMDATESTAMP"/>
              <w:r>
                <w:rPr>
                  <w:color w:themeColor="background1" w:themeShade="BF" w:val="BFBFBF"/>
                  <w:sz w:val="16"/>
                </w:rPr>
                <w:t>рег.номер</w:t>
              </w:r>
              <w:bookmarkEnd w:id="2"/>
            </w:p>
          </w:sdtContent>
        </w:sdt>
      </w:tc>
    </w:tr>
  </w:tbl>
  <w:p w14:paraId="05000000">
    <w:pPr>
      <w:pStyle w:val="Style_3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widowControl w:val="0"/>
      <w:spacing w:after="0" w:line="240" w:lineRule="auto"/>
      <w:ind/>
    </w:pPr>
    <w:rPr>
      <w:rFonts w:ascii="Times New Roman" w:hAnsi="Times New Roman"/>
      <w:sz w:val="28"/>
    </w:rPr>
  </w:style>
  <w:style w:default="1" w:styleId="Style_5_ch" w:type="character">
    <w:name w:val="Normal"/>
    <w:link w:val="Style_5"/>
    <w:rPr>
      <w:rFonts w:ascii="Times New Roman" w:hAnsi="Times New Roman"/>
      <w:sz w:val="28"/>
    </w:rPr>
  </w:style>
  <w:style w:styleId="Style_6" w:type="paragraph">
    <w:name w:val="toc 2"/>
    <w:next w:val="Style_5"/>
    <w:link w:val="Style_6_ch"/>
    <w:uiPriority w:val="39"/>
    <w:pPr>
      <w:widowControl w:val="0"/>
      <w:ind w:firstLine="0" w:left="200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widowControl w:val="0"/>
      <w:ind w:firstLine="0" w:left="600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widowControl w:val="0"/>
      <w:ind w:firstLine="0" w:left="1000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widowControl w:val="0"/>
      <w:ind w:firstLine="0" w:left="1200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Balloon Text"/>
    <w:basedOn w:val="Style_5"/>
    <w:link w:val="Style_10_ch"/>
    <w:rPr>
      <w:rFonts w:ascii="Tahoma" w:hAnsi="Tahoma"/>
      <w:sz w:val="16"/>
    </w:rPr>
  </w:style>
  <w:style w:styleId="Style_10_ch" w:type="character">
    <w:name w:val="Balloon Text"/>
    <w:basedOn w:val="Style_5_ch"/>
    <w:link w:val="Style_10"/>
    <w:rPr>
      <w:rFonts w:ascii="Tahoma" w:hAnsi="Tahoma"/>
      <w:sz w:val="16"/>
    </w:rPr>
  </w:style>
  <w:style w:styleId="Style_11" w:type="paragraph">
    <w:name w:val="Гиперссылка1"/>
    <w:link w:val="Style_11_ch"/>
    <w:rPr>
      <w:color w:val="0000FF"/>
      <w:u w:val="single"/>
    </w:rPr>
  </w:style>
  <w:style w:styleId="Style_11_ch" w:type="character">
    <w:name w:val="Гиперссылка1"/>
    <w:link w:val="Style_11"/>
    <w:rPr>
      <w:color w:val="0000FF"/>
      <w:u w:val="single"/>
    </w:rPr>
  </w:style>
  <w:style w:styleId="Style_12" w:type="paragraph">
    <w:name w:val="Endnote"/>
    <w:link w:val="Style_12_ch"/>
    <w:pPr>
      <w:widowControl w:val="0"/>
      <w:ind w:firstLine="851" w:left="0"/>
      <w:jc w:val="both"/>
    </w:pPr>
    <w:rPr>
      <w:rFonts w:ascii="XO Thames" w:hAnsi="XO Thames"/>
    </w:rPr>
  </w:style>
  <w:style w:styleId="Style_12_ch" w:type="character">
    <w:name w:val="Endnote"/>
    <w:link w:val="Style_12"/>
    <w:rPr>
      <w:rFonts w:ascii="XO Thames" w:hAnsi="XO Thames"/>
    </w:rPr>
  </w:style>
  <w:style w:styleId="Style_13" w:type="paragraph">
    <w:name w:val="heading 3"/>
    <w:next w:val="Style_5"/>
    <w:link w:val="Style_13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3" w:type="paragraph">
    <w:name w:val="footer"/>
    <w:basedOn w:val="Style_5"/>
    <w:link w:val="Style_3_ch"/>
    <w:pPr>
      <w:widowControl w:val="0"/>
      <w:tabs>
        <w:tab w:leader="none" w:pos="4677" w:val="center"/>
        <w:tab w:leader="none" w:pos="9355" w:val="right"/>
      </w:tabs>
      <w:ind/>
    </w:pPr>
  </w:style>
  <w:style w:styleId="Style_3_ch" w:type="character">
    <w:name w:val="footer"/>
    <w:basedOn w:val="Style_5_ch"/>
    <w:link w:val="Style_3"/>
  </w:style>
  <w:style w:styleId="Style_14" w:type="paragraph">
    <w:name w:val="Основной шрифт абзаца1"/>
    <w:link w:val="Style_14_ch"/>
  </w:style>
  <w:style w:styleId="Style_14_ch" w:type="character">
    <w:name w:val="Основной шрифт абзаца1"/>
    <w:link w:val="Style_14"/>
  </w:style>
  <w:style w:styleId="Style_15" w:type="paragraph">
    <w:name w:val="toc 3"/>
    <w:next w:val="Style_5"/>
    <w:link w:val="Style_15_ch"/>
    <w:uiPriority w:val="39"/>
    <w:pPr>
      <w:widowControl w:val="0"/>
      <w:ind w:firstLine="0" w:left="400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next w:val="Style_5"/>
    <w:link w:val="Style_16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6_ch" w:type="character">
    <w:name w:val="heading 5"/>
    <w:link w:val="Style_16"/>
    <w:rPr>
      <w:rFonts w:ascii="XO Thames" w:hAnsi="XO Thames"/>
      <w:b w:val="1"/>
    </w:rPr>
  </w:style>
  <w:style w:styleId="Style_17" w:type="paragraph">
    <w:name w:val="heading 1"/>
    <w:next w:val="Style_5"/>
    <w:link w:val="Style_17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" w:type="paragraph">
    <w:name w:val="header"/>
    <w:basedOn w:val="Style_5"/>
    <w:link w:val="Style_1_ch"/>
    <w:pPr>
      <w:widowControl w:val="0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widowControl w:val="0"/>
      <w:ind w:firstLine="851" w:left="0"/>
      <w:jc w:val="both"/>
    </w:pPr>
    <w:rPr>
      <w:rFonts w:ascii="XO Thames" w:hAnsi="XO Thames"/>
    </w:rPr>
  </w:style>
  <w:style w:styleId="Style_19_ch" w:type="character">
    <w:name w:val="Footnote"/>
    <w:link w:val="Style_19"/>
    <w:rPr>
      <w:rFonts w:ascii="XO Thames" w:hAnsi="XO Thames"/>
    </w:rPr>
  </w:style>
  <w:style w:styleId="Style_20" w:type="paragraph">
    <w:name w:val="toc 1"/>
    <w:next w:val="Style_5"/>
    <w:link w:val="Style_20_ch"/>
    <w:uiPriority w:val="39"/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5"/>
    <w:link w:val="Style_22_ch"/>
    <w:uiPriority w:val="39"/>
    <w:pPr>
      <w:widowControl w:val="0"/>
      <w:ind w:firstLine="0" w:left="1600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toc 8"/>
    <w:next w:val="Style_5"/>
    <w:link w:val="Style_24_ch"/>
    <w:uiPriority w:val="39"/>
    <w:pPr>
      <w:widowControl w:val="0"/>
      <w:ind w:firstLine="0" w:left="1400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5"/>
    <w:link w:val="Style_25_ch"/>
    <w:uiPriority w:val="39"/>
    <w:pPr>
      <w:widowControl w:val="0"/>
      <w:ind w:firstLine="0" w:left="800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Обычный1"/>
    <w:link w:val="Style_26_ch"/>
    <w:rPr>
      <w:rFonts w:ascii="Times New Roman" w:hAnsi="Times New Roman"/>
      <w:sz w:val="28"/>
    </w:rPr>
  </w:style>
  <w:style w:styleId="Style_26_ch" w:type="character">
    <w:name w:val="Обычный1"/>
    <w:link w:val="Style_26"/>
    <w:rPr>
      <w:rFonts w:ascii="Times New Roman" w:hAnsi="Times New Roman"/>
      <w:sz w:val="28"/>
    </w:rPr>
  </w:style>
  <w:style w:styleId="Style_27" w:type="paragraph">
    <w:name w:val="Subtitle"/>
    <w:next w:val="Style_5"/>
    <w:link w:val="Style_27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5"/>
    <w:link w:val="Style_28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5"/>
    <w:link w:val="Style_29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5"/>
    <w:link w:val="Style_30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4" w:type="table">
    <w:name w:val="Table Grid"/>
    <w:basedOn w:val="Style_2"/>
    <w:pPr>
      <w:widowControl w:val="0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1" w:type="table">
    <w:name w:val="Сетка таблицы светлая1"/>
    <w:basedOn w:val="Style_2"/>
    <w:pPr>
      <w:widowControl w:val="0"/>
      <w:spacing w:after="0" w:line="240" w:lineRule="auto"/>
      <w:ind/>
    </w:pPr>
    <w:tblPr>
      <w:tblInd w:type="dxa" w:w="0"/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2" w:type="table">
    <w:name w:val="Сетка таблицы светлая2"/>
    <w:basedOn w:val="Style_2"/>
    <w:pPr>
      <w:widowControl w:val="0"/>
      <w:spacing w:after="0" w:line="240" w:lineRule="auto"/>
      <w:ind/>
    </w:pPr>
    <w:tblPr>
      <w:tblInd w:type="dxa" w:w="0"/>
      <w:tblBorders>
        <w:top w:sz="4" w:themeColor="background1" w:themeShade="BF" w:val="single"/>
        <w:left w:sz="4" w:themeColor="background1" w:themeShade="BF" w:val="single"/>
        <w:bottom w:sz="4" w:themeColor="background1" w:themeShade="BF" w:val="single"/>
        <w:right w:sz="4" w:themeColor="background1" w:themeShade="BF" w:val="single"/>
        <w:insideH w:sz="4" w:themeColor="background1" w:themeShade="BF" w:val="single"/>
        <w:insideV w:sz="4" w:themeColor="background1" w:themeShade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2026-06-05T07:14:48Z</dcterms:created>
  <dcterms:modified xsi:type="dcterms:W3CDTF">2026-06-05T07:14:48Z</dcterms:modified>
</cp:coreProperties>
</file>